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01E0F" w14:textId="220BD0D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7C71A6" w:rsidRPr="007C71A6">
        <w:rPr>
          <w:sz w:val="32"/>
          <w:szCs w:val="32"/>
        </w:rPr>
        <w:t>R2-1704105</w:t>
      </w:r>
    </w:p>
    <w:p w14:paraId="1BBDFDDE" w14:textId="77777777" w:rsidR="00E90E49" w:rsidRPr="00CE0424" w:rsidRDefault="00C544E1" w:rsidP="00311702">
      <w:pPr>
        <w:pStyle w:val="3GPPHeader"/>
      </w:pPr>
      <w:r>
        <w:t>Hangz</w:t>
      </w:r>
      <w:r w:rsidR="00EA0B99">
        <w:t>h</w:t>
      </w:r>
      <w:r>
        <w:t>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62C0EE03" w14:textId="77777777" w:rsidR="00E90E49" w:rsidRPr="00CE0424" w:rsidRDefault="00E90E49" w:rsidP="00357380">
      <w:pPr>
        <w:pStyle w:val="3GPPHeader"/>
      </w:pPr>
    </w:p>
    <w:p w14:paraId="1E77C40E" w14:textId="2FCD717D" w:rsidR="00E90E49" w:rsidRPr="007C71A6" w:rsidRDefault="00E90E49" w:rsidP="00311702">
      <w:pPr>
        <w:pStyle w:val="3GPPHeader"/>
        <w:rPr>
          <w:sz w:val="22"/>
          <w:szCs w:val="22"/>
          <w:lang w:val="en-US"/>
        </w:rPr>
      </w:pPr>
      <w:r w:rsidRPr="007C71A6">
        <w:rPr>
          <w:sz w:val="22"/>
          <w:szCs w:val="22"/>
          <w:lang w:val="en-US"/>
        </w:rPr>
        <w:t>Agenda Item:</w:t>
      </w:r>
      <w:r w:rsidRPr="007C71A6">
        <w:rPr>
          <w:sz w:val="22"/>
          <w:szCs w:val="22"/>
          <w:lang w:val="en-US"/>
        </w:rPr>
        <w:tab/>
      </w:r>
      <w:r w:rsidR="007C71A6" w:rsidRPr="007C71A6">
        <w:rPr>
          <w:sz w:val="22"/>
          <w:szCs w:val="22"/>
          <w:lang w:val="en-US"/>
        </w:rPr>
        <w:t>10.4.1.4</w:t>
      </w:r>
    </w:p>
    <w:p w14:paraId="73A9143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78841A" w14:textId="42ABE2B0" w:rsidR="00E90E49" w:rsidRPr="00CE0424" w:rsidRDefault="003D3C45" w:rsidP="00311702">
      <w:pPr>
        <w:pStyle w:val="3GPPHeader"/>
        <w:rPr>
          <w:sz w:val="22"/>
          <w:szCs w:val="22"/>
        </w:rPr>
      </w:pPr>
      <w:r>
        <w:rPr>
          <w:sz w:val="22"/>
          <w:szCs w:val="22"/>
        </w:rPr>
        <w:t>Title:</w:t>
      </w:r>
      <w:r w:rsidR="00E90E49" w:rsidRPr="00CE0424">
        <w:rPr>
          <w:sz w:val="22"/>
          <w:szCs w:val="22"/>
        </w:rPr>
        <w:tab/>
      </w:r>
      <w:r w:rsidR="007C71A6" w:rsidRPr="007C71A6">
        <w:rPr>
          <w:sz w:val="22"/>
          <w:szCs w:val="22"/>
        </w:rPr>
        <w:t xml:space="preserve">Trade-off between HO failure and HO </w:t>
      </w:r>
      <w:bookmarkStart w:id="0" w:name="_GoBack"/>
      <w:bookmarkEnd w:id="0"/>
      <w:r w:rsidR="007C71A6" w:rsidRPr="007C71A6">
        <w:rPr>
          <w:sz w:val="22"/>
          <w:szCs w:val="22"/>
        </w:rPr>
        <w:t>ping-pong rates</w:t>
      </w:r>
    </w:p>
    <w:p w14:paraId="37B4D38A" w14:textId="3B5A4FF1" w:rsidR="00E90E49" w:rsidRPr="007C71A6" w:rsidRDefault="00E90E49" w:rsidP="007C71A6">
      <w:pPr>
        <w:pStyle w:val="3GPPHeader"/>
        <w:rPr>
          <w:sz w:val="22"/>
          <w:szCs w:val="22"/>
        </w:rPr>
      </w:pPr>
      <w:r w:rsidRPr="007C71A6">
        <w:rPr>
          <w:sz w:val="22"/>
          <w:szCs w:val="22"/>
        </w:rPr>
        <w:t>Document for:</w:t>
      </w:r>
      <w:r w:rsidRPr="007C71A6">
        <w:rPr>
          <w:sz w:val="22"/>
          <w:szCs w:val="22"/>
        </w:rPr>
        <w:tab/>
        <w:t>Discussion, Decision</w:t>
      </w:r>
    </w:p>
    <w:p w14:paraId="2F241EF1" w14:textId="77777777" w:rsidR="00C24345" w:rsidRDefault="00E90E49" w:rsidP="00A2052C">
      <w:pPr>
        <w:pStyle w:val="Heading1"/>
      </w:pPr>
      <w:r w:rsidRPr="00CE0424">
        <w:t>Introduction</w:t>
      </w:r>
    </w:p>
    <w:p w14:paraId="0412C7C8" w14:textId="73DC840E" w:rsidR="001F234E" w:rsidRDefault="003C011B" w:rsidP="00A2052C">
      <w:r>
        <w:t xml:space="preserve">In earlier contributions </w:t>
      </w:r>
      <w:r w:rsidR="003072C9">
        <w:fldChar w:fldCharType="begin"/>
      </w:r>
      <w:r w:rsidR="003072C9">
        <w:instrText xml:space="preserve"> REF  _Ref174151459 \h \r </w:instrText>
      </w:r>
      <w:r w:rsidR="003072C9">
        <w:fldChar w:fldCharType="separate"/>
      </w:r>
      <w:r w:rsidR="003072C9">
        <w:t>[1,2,3]</w:t>
      </w:r>
      <w:r w:rsidR="003072C9">
        <w:fldChar w:fldCharType="end"/>
      </w:r>
      <w:r w:rsidR="003072C9">
        <w:t xml:space="preserve">, </w:t>
      </w:r>
      <w:r>
        <w:t>where we have explored methods for cell quality value generation and filtering, we have evaluated the handover performance in terms of ping-pong (PP) and handover failure (HOF) rates. A common observation has always been a certain trade-off between these two error modes. Compared to simply taking the best beam as the cell quality value, averaging the quality of several beams allows to reduce the number of ping-pong occur</w:t>
      </w:r>
      <w:r w:rsidR="001F234E">
        <w:t>r</w:t>
      </w:r>
      <w:r>
        <w:t>ences, but at the cost of an increased rate of handover failures (HOF). In general, the more averaging is done (i.e. the more beams are averaged over), the stronger is the effect: taking the best beam only has the lowest HOF rate and the h</w:t>
      </w:r>
      <w:r w:rsidR="001F234E">
        <w:t>i</w:t>
      </w:r>
      <w:r>
        <w:t xml:space="preserve">ghest PP rate, while averaging all beams of a cell has the highest HOF rate and the lowest PP rate. </w:t>
      </w:r>
      <w:r w:rsidR="00E11151">
        <w:t xml:space="preserve">However, it should be mentioned that these results are dependent on the way the handover algorithm is executed based on the measurement reports. In other words, these results mainly occur because the simulations implement a very simple handover algorithm that only consider these measurements before taking a handover decision. </w:t>
      </w:r>
      <w:r>
        <w:t xml:space="preserve">In this paper we </w:t>
      </w:r>
      <w:r w:rsidR="001F234E">
        <w:t>study the influence of averaging on the cell quality in more detail</w:t>
      </w:r>
      <w:r w:rsidR="0048021B">
        <w:t>.</w:t>
      </w:r>
    </w:p>
    <w:p w14:paraId="4D483713" w14:textId="6AE3B6B4" w:rsidR="004000E8" w:rsidRPr="00CE0424" w:rsidRDefault="004000E8" w:rsidP="00CE0424">
      <w:pPr>
        <w:pStyle w:val="Heading1"/>
      </w:pPr>
      <w:bookmarkStart w:id="1" w:name="_Ref178064866"/>
      <w:r w:rsidRPr="00CE0424">
        <w:t>Discussion</w:t>
      </w:r>
      <w:bookmarkEnd w:id="1"/>
    </w:p>
    <w:p w14:paraId="4CC7C98C" w14:textId="5FBC200F" w:rsidR="00274C17" w:rsidRDefault="00274C17" w:rsidP="00CE0424">
      <w:pPr>
        <w:pStyle w:val="BodyText"/>
      </w:pPr>
      <w:r>
        <w:t xml:space="preserve">As an illustration, Figure 1 shows </w:t>
      </w:r>
      <w:r w:rsidR="0048021B">
        <w:t xml:space="preserve">results </w:t>
      </w:r>
      <w:r w:rsidR="000D45C7">
        <w:t>from simulations</w:t>
      </w:r>
      <w:r w:rsidR="0048021B">
        <w:t xml:space="preserve"> where a UE moves between two cells. One of the cells has several similarly strong beams, whereas the other has one beam significantly stronger than the others.</w:t>
      </w:r>
      <w:r>
        <w:t xml:space="preserve"> The </w:t>
      </w:r>
      <w:r w:rsidR="0048021B">
        <w:t xml:space="preserve">bottom </w:t>
      </w:r>
      <w:r>
        <w:t xml:space="preserve">left and right panel show </w:t>
      </w:r>
      <w:r w:rsidR="0048021B">
        <w:t xml:space="preserve">RSRP curves for </w:t>
      </w:r>
      <w:r>
        <w:t xml:space="preserve">the same situation, the only difference being that in the left case the UE determines the cell quality by taking the best beam, whereas in the right case the cell quality is determined by taking the average of </w:t>
      </w:r>
      <w:r w:rsidR="00F75BCC">
        <w:t>the 3 strongest b</w:t>
      </w:r>
      <w:r>
        <w:t xml:space="preserve">eams. The vertical lines (in the left plot) mark handovers, the </w:t>
      </w:r>
      <w:r w:rsidR="0048021B">
        <w:t>colour</w:t>
      </w:r>
      <w:r>
        <w:t xml:space="preserve"> indicates to which cell. </w:t>
      </w:r>
    </w:p>
    <w:p w14:paraId="6E0850A0" w14:textId="12EEDD62" w:rsidR="00274C17" w:rsidRDefault="00274C17" w:rsidP="00CE0424">
      <w:pPr>
        <w:pStyle w:val="BodyText"/>
      </w:pPr>
      <w:r>
        <w:t>In the left case, the UE begins in</w:t>
      </w:r>
      <w:r w:rsidR="000D45C7">
        <w:t xml:space="preserve"> the yellow</w:t>
      </w:r>
      <w:r>
        <w:t xml:space="preserve"> cell. At about t=2.4</w:t>
      </w:r>
      <w:r w:rsidR="000D45C7">
        <w:t>s</w:t>
      </w:r>
      <w:r>
        <w:t>, the best beam of the blue cell becomes suddenly very strong</w:t>
      </w:r>
      <w:r w:rsidR="00624E90">
        <w:t>. At the same time, the best beam of the yellow cell decreases in strength, which leads to the (exceptionally strong) blue beam momentarily exceeding the strength of the (exceptionally weak) yellow c</w:t>
      </w:r>
      <w:r w:rsidR="00FD5DFD">
        <w:t xml:space="preserve">ell. </w:t>
      </w:r>
      <w:r w:rsidR="0056265E">
        <w:t>Thus</w:t>
      </w:r>
      <w:r w:rsidR="00624E90">
        <w:t>, a</w:t>
      </w:r>
      <w:r>
        <w:t xml:space="preserve"> handover to the blue cell is executed at t=2.6</w:t>
      </w:r>
      <w:r w:rsidR="000D45C7">
        <w:t>s</w:t>
      </w:r>
      <w:r>
        <w:t>. After less than 100 µs, however, the strength of the best blue beam is reduced as sudden as it appeared,</w:t>
      </w:r>
      <w:r w:rsidR="00624E90">
        <w:t xml:space="preserve"> the best </w:t>
      </w:r>
      <w:r w:rsidR="000D45C7">
        <w:t xml:space="preserve">beam from the </w:t>
      </w:r>
      <w:r w:rsidR="00624E90">
        <w:t xml:space="preserve">yellow </w:t>
      </w:r>
      <w:r w:rsidR="000D45C7">
        <w:t xml:space="preserve">cell </w:t>
      </w:r>
      <w:r w:rsidR="00624E90">
        <w:t xml:space="preserve">recovers, </w:t>
      </w:r>
      <w:r>
        <w:t xml:space="preserve">and the UE executes a handover back to the yellow cell. It would </w:t>
      </w:r>
      <w:r w:rsidR="0056265E">
        <w:t xml:space="preserve">likely </w:t>
      </w:r>
      <w:r>
        <w:t xml:space="preserve">have been better for the UE to stay in the yellow cell, as its </w:t>
      </w:r>
      <w:r w:rsidR="000D45C7">
        <w:t xml:space="preserve">quality </w:t>
      </w:r>
      <w:r>
        <w:t>is perfectly fine</w:t>
      </w:r>
      <w:r w:rsidR="000D45C7">
        <w:t xml:space="preserve"> throughout the whole time</w:t>
      </w:r>
      <w:r>
        <w:t>.</w:t>
      </w:r>
    </w:p>
    <w:p w14:paraId="0EBDE3BD" w14:textId="46A36950" w:rsidR="00274C17" w:rsidRDefault="00274C17" w:rsidP="00CE0424">
      <w:pPr>
        <w:pStyle w:val="BodyText"/>
      </w:pPr>
      <w:r>
        <w:t xml:space="preserve">In the right case, </w:t>
      </w:r>
      <w:r w:rsidR="000D45C7">
        <w:t xml:space="preserve">where the cell quality is obtained by taking the average of the 3 strongest beams, </w:t>
      </w:r>
      <w:r>
        <w:t>the UE starts again in the yellow cell. Also here can we observe the up- and downwards fluctuation of the</w:t>
      </w:r>
      <w:r w:rsidR="000D45C7">
        <w:t xml:space="preserve"> best beam from the</w:t>
      </w:r>
      <w:r>
        <w:t xml:space="preserve"> blue cell, but since we average over </w:t>
      </w:r>
      <w:r w:rsidR="00F75BCC">
        <w:t>the 3 strongest</w:t>
      </w:r>
      <w:r>
        <w:t xml:space="preserve"> beams, </w:t>
      </w:r>
      <w:r w:rsidR="00F75BCC">
        <w:t>the upward fluctuation</w:t>
      </w:r>
      <w:r>
        <w:t xml:space="preserve"> is not as strong as in the left case</w:t>
      </w:r>
      <w:r w:rsidR="00624E90">
        <w:t>. Likewise, the decrease of the strength of the best beam of the yellow cell is compensated by the other beams becoming stronger, such that the downward fluctuation of the</w:t>
      </w:r>
      <w:r w:rsidR="000D45C7">
        <w:t xml:space="preserve"> quality of the</w:t>
      </w:r>
      <w:r w:rsidR="00624E90">
        <w:t xml:space="preserve"> yellow cell is </w:t>
      </w:r>
      <w:r w:rsidR="000D45C7">
        <w:t>evened out</w:t>
      </w:r>
      <w:r w:rsidR="00624E90">
        <w:t>.</w:t>
      </w:r>
      <w:r>
        <w:t xml:space="preserve"> </w:t>
      </w:r>
      <w:r w:rsidR="0056265E">
        <w:t>Hence</w:t>
      </w:r>
      <w:r w:rsidR="00624E90">
        <w:t xml:space="preserve">, </w:t>
      </w:r>
      <w:r>
        <w:t xml:space="preserve">the quality of the blue cell never exceeds </w:t>
      </w:r>
      <w:r w:rsidR="00F75BCC">
        <w:t xml:space="preserve">that of </w:t>
      </w:r>
      <w:r>
        <w:t>the yellow cell</w:t>
      </w:r>
      <w:r w:rsidR="00624E90">
        <w:t xml:space="preserve"> </w:t>
      </w:r>
      <w:r w:rsidR="00F75BCC">
        <w:t>and thus t</w:t>
      </w:r>
      <w:r>
        <w:t>he ping-pong is avoided.</w:t>
      </w:r>
    </w:p>
    <w:p w14:paraId="214014A9" w14:textId="17E788C9" w:rsidR="00274C17" w:rsidRDefault="00274C17" w:rsidP="00CE0424">
      <w:pPr>
        <w:pStyle w:val="BodyText"/>
      </w:pPr>
      <w:r>
        <w:t xml:space="preserve">Note however the </w:t>
      </w:r>
      <w:r w:rsidR="00F75BCC">
        <w:t xml:space="preserve">lower absolute level of the curves </w:t>
      </w:r>
      <w:r>
        <w:t xml:space="preserve">in the right case. Averaging systematically underestimates the cell quality and </w:t>
      </w:r>
      <w:r w:rsidR="00F81F1B">
        <w:t xml:space="preserve">thus </w:t>
      </w:r>
      <w:r>
        <w:t xml:space="preserve">increases the </w:t>
      </w:r>
      <w:r w:rsidR="0056265E">
        <w:t xml:space="preserve">risk </w:t>
      </w:r>
      <w:r>
        <w:t>of HOF</w:t>
      </w:r>
      <w:r w:rsidR="00F81F1B">
        <w:t xml:space="preserve"> and/or RLF, since the cell qualities</w:t>
      </w:r>
      <w:r>
        <w:t xml:space="preserve"> </w:t>
      </w:r>
      <w:r w:rsidR="00F81F1B">
        <w:t xml:space="preserve">of target and serving </w:t>
      </w:r>
      <w:r>
        <w:t>might be reduced so much that the UE is no longer capable of connecting.</w:t>
      </w:r>
      <w:r w:rsidR="00517AC6">
        <w:t xml:space="preserve"> In these simulations, what happens with the averaging is simply a delay of the triggering point where the UE sends measurement reports, this is the reason that there is a risk of HOF and RLF. In a handover algorithm that also considers reported information </w:t>
      </w:r>
      <w:r w:rsidR="00517AC6">
        <w:lastRenderedPageBreak/>
        <w:t>about beams per cell, as we proposed in companion papers, ping-pongs could be avoided while keeping the risk of RLF and HOF lower (by not delaying measurement reports via averaging).</w:t>
      </w:r>
    </w:p>
    <w:p w14:paraId="28B71D34" w14:textId="77777777" w:rsidR="00274C17" w:rsidRDefault="00274C17" w:rsidP="00274C17">
      <w:pPr>
        <w:pStyle w:val="Observation"/>
        <w:numPr>
          <w:ilvl w:val="0"/>
          <w:numId w:val="0"/>
        </w:numPr>
        <w:ind w:left="1701"/>
      </w:pPr>
      <w:bookmarkStart w:id="2" w:name="_Toc347822666"/>
      <w:bookmarkStart w:id="3" w:name="_Toc347823812"/>
      <w:bookmarkStart w:id="4" w:name="_Toc347823993"/>
      <w:bookmarkStart w:id="5" w:name="_Toc347824244"/>
    </w:p>
    <w:p w14:paraId="27B32078" w14:textId="7FBA068E" w:rsidR="00F81F1B" w:rsidRDefault="00F81F1B" w:rsidP="00F81F1B">
      <w:pPr>
        <w:pStyle w:val="Observation"/>
      </w:pPr>
      <w:bookmarkStart w:id="6" w:name="_Toc481068284"/>
      <w:bookmarkStart w:id="7" w:name="_Toc481068357"/>
      <w:bookmarkStart w:id="8" w:name="_Toc481070360"/>
      <w:bookmarkStart w:id="9" w:name="_Toc481165756"/>
      <w:bookmarkStart w:id="10" w:name="_Toc481534321"/>
      <w:bookmarkStart w:id="11" w:name="_Toc481752290"/>
      <w:r>
        <w:t>Averaging reduces the influence of individual beams becoming stronger for a limited amount of time, and thus reduces the amount of ping-pong handovers</w:t>
      </w:r>
      <w:r w:rsidR="00517AC6">
        <w:t xml:space="preserve"> in simplified HO algorithms</w:t>
      </w:r>
      <w:r>
        <w:t>.</w:t>
      </w:r>
      <w:bookmarkEnd w:id="6"/>
      <w:bookmarkEnd w:id="7"/>
      <w:bookmarkEnd w:id="8"/>
      <w:bookmarkEnd w:id="9"/>
      <w:bookmarkEnd w:id="10"/>
      <w:bookmarkEnd w:id="11"/>
    </w:p>
    <w:p w14:paraId="7343E1F8" w14:textId="46B621A3" w:rsidR="00F81F1B" w:rsidRDefault="00F81F1B" w:rsidP="00F81F1B">
      <w:pPr>
        <w:pStyle w:val="Observation"/>
      </w:pPr>
      <w:bookmarkStart w:id="12" w:name="_Toc481068285"/>
      <w:bookmarkStart w:id="13" w:name="_Toc481068358"/>
      <w:bookmarkStart w:id="14" w:name="_Toc481070361"/>
      <w:bookmarkStart w:id="15" w:name="_Toc481165757"/>
      <w:bookmarkStart w:id="16" w:name="_Toc481534322"/>
      <w:bookmarkStart w:id="17" w:name="_Toc481752291"/>
      <w:r>
        <w:t>Averaging systematically underestimates the cell quality, leading to a higher risk for HOF and RLF.</w:t>
      </w:r>
      <w:bookmarkEnd w:id="12"/>
      <w:bookmarkEnd w:id="13"/>
      <w:bookmarkEnd w:id="14"/>
      <w:bookmarkEnd w:id="15"/>
      <w:bookmarkEnd w:id="16"/>
      <w:bookmarkEnd w:id="17"/>
      <w:r>
        <w:t xml:space="preserve"> </w:t>
      </w:r>
    </w:p>
    <w:p w14:paraId="543550F1" w14:textId="347B30F5" w:rsidR="00B60479" w:rsidRDefault="00B60479" w:rsidP="00B60479">
      <w:pPr>
        <w:pStyle w:val="Observation"/>
        <w:numPr>
          <w:ilvl w:val="0"/>
          <w:numId w:val="0"/>
        </w:numPr>
        <w:ind w:left="1701" w:hanging="1701"/>
      </w:pPr>
    </w:p>
    <w:p w14:paraId="7511EC03" w14:textId="77777777" w:rsidR="00B60479" w:rsidRDefault="00B60479" w:rsidP="00B60479">
      <w:pPr>
        <w:pStyle w:val="Observation"/>
        <w:numPr>
          <w:ilvl w:val="0"/>
          <w:numId w:val="0"/>
        </w:numPr>
        <w:ind w:left="1701" w:hanging="1701"/>
      </w:pPr>
    </w:p>
    <w:p w14:paraId="17D9227F" w14:textId="16B1693D" w:rsidR="003742AC" w:rsidRPr="00CE0424" w:rsidRDefault="00B60479" w:rsidP="00B60479">
      <w:pPr>
        <w:jc w:val="center"/>
      </w:pPr>
      <w:r>
        <w:rPr>
          <w:noProof/>
          <w:lang w:val="en-US" w:eastAsia="en-US"/>
        </w:rPr>
        <w:drawing>
          <wp:inline distT="0" distB="0" distL="0" distR="0" wp14:anchorId="6E305AE6" wp14:editId="1376790B">
            <wp:extent cx="4478292" cy="15322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ood_beams.svg.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87098" cy="1535268"/>
                    </a:xfrm>
                    <a:prstGeom prst="rect">
                      <a:avLst/>
                    </a:prstGeom>
                  </pic:spPr>
                </pic:pic>
              </a:graphicData>
            </a:graphic>
          </wp:inline>
        </w:drawing>
      </w:r>
      <w:bookmarkStart w:id="18" w:name="_Toc481068286"/>
      <w:bookmarkEnd w:id="2"/>
      <w:bookmarkEnd w:id="3"/>
      <w:bookmarkEnd w:id="4"/>
      <w:bookmarkEnd w:id="5"/>
      <w:r w:rsidR="00274C17">
        <w:rPr>
          <w:noProof/>
          <w:lang w:val="en-US" w:eastAsia="en-US"/>
        </w:rPr>
        <w:drawing>
          <wp:inline distT="0" distB="0" distL="0" distR="0" wp14:anchorId="237EF1FF" wp14:editId="1C662A46">
            <wp:extent cx="6120765" cy="2295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srp_user6_bot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2295286"/>
                    </a:xfrm>
                    <a:prstGeom prst="rect">
                      <a:avLst/>
                    </a:prstGeom>
                  </pic:spPr>
                </pic:pic>
              </a:graphicData>
            </a:graphic>
          </wp:inline>
        </w:drawing>
      </w:r>
      <w:bookmarkEnd w:id="18"/>
    </w:p>
    <w:p w14:paraId="23C0D355" w14:textId="5A0D5670" w:rsidR="00B60479" w:rsidRPr="00B60479" w:rsidRDefault="003742AC" w:rsidP="00B60479">
      <w:pPr>
        <w:pStyle w:val="Caption"/>
      </w:pPr>
      <w:r w:rsidRPr="00CE0424">
        <w:t xml:space="preserve">Figure </w:t>
      </w:r>
      <w:r w:rsidRPr="00CE0424">
        <w:fldChar w:fldCharType="begin"/>
      </w:r>
      <w:r w:rsidRPr="00CE0424">
        <w:instrText xml:space="preserve"> SEQ Figure \* ARABIC </w:instrText>
      </w:r>
      <w:r w:rsidRPr="00CE0424">
        <w:fldChar w:fldCharType="separate"/>
      </w:r>
      <w:r w:rsidR="00880B5B">
        <w:rPr>
          <w:noProof/>
        </w:rPr>
        <w:t>1</w:t>
      </w:r>
      <w:r w:rsidRPr="00CE0424">
        <w:fldChar w:fldCharType="end"/>
      </w:r>
      <w:r w:rsidR="00274C17">
        <w:t xml:space="preserve">: </w:t>
      </w:r>
      <w:r w:rsidR="00B60479">
        <w:t xml:space="preserve">A UE moving between cells with different number of “good” beams (top) and simulated cell qualities </w:t>
      </w:r>
      <w:r w:rsidR="00274C17">
        <w:t>for th</w:t>
      </w:r>
      <w:r w:rsidR="00B60479">
        <w:t xml:space="preserve">at </w:t>
      </w:r>
      <w:r w:rsidR="00274C17">
        <w:t>situation</w:t>
      </w:r>
      <w:r w:rsidR="00B60479">
        <w:t xml:space="preserve"> (bottom), </w:t>
      </w:r>
      <w:r w:rsidR="00274C17">
        <w:t xml:space="preserve">with </w:t>
      </w:r>
      <w:r w:rsidR="00B60479">
        <w:t xml:space="preserve">cell quality being determined by the </w:t>
      </w:r>
      <w:r w:rsidR="00274C17">
        <w:t xml:space="preserve">best </w:t>
      </w:r>
      <w:r w:rsidR="00B60479">
        <w:t xml:space="preserve">beam (left) and averaging the 3 strongest beams </w:t>
      </w:r>
      <w:r w:rsidR="00274C17">
        <w:t>(right)</w:t>
      </w:r>
      <w:r w:rsidR="00B60479">
        <w:t>.</w:t>
      </w:r>
    </w:p>
    <w:p w14:paraId="1991F365" w14:textId="77777777" w:rsidR="003F43BD" w:rsidRDefault="003F43BD" w:rsidP="00CE0424">
      <w:pPr>
        <w:pStyle w:val="BodyText"/>
      </w:pPr>
    </w:p>
    <w:p w14:paraId="11E60F7E" w14:textId="505B8A2A" w:rsidR="003742AC" w:rsidRDefault="003F43BD" w:rsidP="00CE0424">
      <w:pPr>
        <w:pStyle w:val="BodyText"/>
      </w:pPr>
      <w:r>
        <w:t xml:space="preserve">Unless they occur very often, ping-pong occurrences are much less of a problem than handover or radio link failures. </w:t>
      </w:r>
      <w:r w:rsidR="00517AC6">
        <w:t xml:space="preserve">And, as explained, the fundamental effect of averaging is mainly about delaying the triggering of measurement reports, not the ping-pong rates. </w:t>
      </w:r>
      <w:r>
        <w:t xml:space="preserve">We therefore </w:t>
      </w:r>
      <w:r w:rsidR="00517AC6">
        <w:t xml:space="preserve">believe that most of the network configuration will likely </w:t>
      </w:r>
      <w:r>
        <w:t xml:space="preserve">keep the amount of averaging in the determination of cell quality to a minimum. </w:t>
      </w:r>
      <w:r w:rsidR="00517AC6">
        <w:t xml:space="preserve">In other words, it is likely that </w:t>
      </w:r>
      <w:r>
        <w:t xml:space="preserve">N=1 </w:t>
      </w:r>
      <w:r w:rsidR="00517AC6">
        <w:t xml:space="preserve">will </w:t>
      </w:r>
      <w:r>
        <w:t>be used</w:t>
      </w:r>
      <w:r w:rsidR="00517AC6">
        <w:t xml:space="preserve"> most of the time</w:t>
      </w:r>
      <w:r>
        <w:t xml:space="preserve">, and only where certain circumstances make it necessary N </w:t>
      </w:r>
      <w:r w:rsidR="00D6273E">
        <w:t>should be chosen larger than 1.</w:t>
      </w:r>
    </w:p>
    <w:p w14:paraId="1FF2072D" w14:textId="77777777" w:rsidR="001F234E" w:rsidRDefault="001F234E" w:rsidP="00CE0424">
      <w:pPr>
        <w:pStyle w:val="BodyText"/>
      </w:pPr>
    </w:p>
    <w:p w14:paraId="30A3DA9F" w14:textId="2E208BB9" w:rsidR="003072C9" w:rsidRPr="00DF16E1" w:rsidRDefault="003F43BD" w:rsidP="003072C9">
      <w:pPr>
        <w:pStyle w:val="Proposal"/>
        <w:rPr>
          <w:lang w:val="en-US"/>
        </w:rPr>
      </w:pPr>
      <w:bookmarkStart w:id="19" w:name="_Ref190406817"/>
      <w:bookmarkStart w:id="20" w:name="_Toc226862296"/>
      <w:bookmarkStart w:id="21" w:name="_Toc347823621"/>
      <w:bookmarkStart w:id="22" w:name="_Toc347824073"/>
      <w:bookmarkStart w:id="23" w:name="_Toc347824246"/>
      <w:bookmarkStart w:id="24" w:name="_Toc481068287"/>
      <w:bookmarkStart w:id="25" w:name="_Toc481068359"/>
      <w:bookmarkStart w:id="26" w:name="_Toc481070362"/>
      <w:bookmarkStart w:id="27" w:name="_Toc481165758"/>
      <w:bookmarkStart w:id="28" w:name="_Toc481534345"/>
      <w:bookmarkStart w:id="29" w:name="_Toc481752292"/>
      <w:bookmarkStart w:id="30" w:name="_Toc481752301"/>
      <w:r w:rsidRPr="003F43BD">
        <w:t xml:space="preserve">The amount of averaging in determining the cell quality </w:t>
      </w:r>
      <w:r w:rsidR="00517AC6">
        <w:t xml:space="preserve">will very likely </w:t>
      </w:r>
      <w:r w:rsidRPr="003F43BD">
        <w:t>be kept to a minimum</w:t>
      </w:r>
      <w:r w:rsidR="00517AC6">
        <w:t xml:space="preserve"> in the configuration i.e. despite the agreement to define a parameter N, most of the time N could be set to 1</w:t>
      </w:r>
      <w:r w:rsidRPr="003F43BD">
        <w:t>.</w:t>
      </w:r>
      <w:bookmarkEnd w:id="19"/>
      <w:bookmarkEnd w:id="20"/>
      <w:bookmarkEnd w:id="21"/>
      <w:bookmarkEnd w:id="22"/>
      <w:bookmarkEnd w:id="23"/>
      <w:bookmarkEnd w:id="24"/>
      <w:bookmarkEnd w:id="25"/>
      <w:bookmarkEnd w:id="26"/>
      <w:bookmarkEnd w:id="27"/>
      <w:bookmarkEnd w:id="28"/>
      <w:bookmarkEnd w:id="29"/>
      <w:bookmarkEnd w:id="30"/>
      <w:r w:rsidR="00D6273E">
        <w:t xml:space="preserve"> Hence, N should be an optional parameter.</w:t>
      </w:r>
    </w:p>
    <w:p w14:paraId="03C49FE6" w14:textId="77777777" w:rsidR="003072C9" w:rsidRPr="009C6156" w:rsidRDefault="003072C9" w:rsidP="00214A27">
      <w:pPr>
        <w:pStyle w:val="Doc-text2"/>
        <w:ind w:left="0" w:firstLine="0"/>
        <w:jc w:val="both"/>
        <w:rPr>
          <w:lang w:val="en-US"/>
        </w:rPr>
      </w:pPr>
    </w:p>
    <w:p w14:paraId="194C0C02" w14:textId="77777777" w:rsidR="00C01F33" w:rsidRPr="00CE0424" w:rsidRDefault="00C01F33" w:rsidP="00CE0424">
      <w:pPr>
        <w:pStyle w:val="Heading1"/>
      </w:pPr>
      <w:r w:rsidRPr="00CE0424">
        <w:lastRenderedPageBreak/>
        <w:t>Conclusion</w:t>
      </w:r>
    </w:p>
    <w:p w14:paraId="01849886" w14:textId="02264EE4" w:rsidR="00452E40" w:rsidRDefault="008E065E" w:rsidP="00DF16E1">
      <w:r>
        <w:t xml:space="preserve">In section </w:t>
      </w:r>
      <w:r w:rsidRPr="00CE0424">
        <w:rPr>
          <w:highlight w:val="cyan"/>
        </w:rPr>
        <w:fldChar w:fldCharType="begin"/>
      </w:r>
      <w:r w:rsidRPr="00CE0424">
        <w:instrText xml:space="preserve"> REF _Ref178064866 \r \h </w:instrText>
      </w:r>
      <w:r w:rsidR="00452E40">
        <w:rPr>
          <w:highlight w:val="cyan"/>
        </w:rPr>
        <w:instrText xml:space="preserve"> \* MERGEFORMAT </w:instrText>
      </w:r>
      <w:r w:rsidRPr="00CE0424">
        <w:rPr>
          <w:highlight w:val="cyan"/>
        </w:rPr>
      </w:r>
      <w:r w:rsidRPr="00CE0424">
        <w:rPr>
          <w:highlight w:val="cyan"/>
        </w:rPr>
        <w:fldChar w:fldCharType="separate"/>
      </w:r>
      <w:r w:rsidR="003072C9">
        <w:t>2</w:t>
      </w:r>
      <w:r w:rsidRPr="00CE0424">
        <w:rPr>
          <w:highlight w:val="cyan"/>
        </w:rPr>
        <w:fldChar w:fldCharType="end"/>
      </w:r>
      <w:r w:rsidRPr="00CE0424">
        <w:t xml:space="preserve"> we </w:t>
      </w:r>
      <w:r>
        <w:t>made the following observations</w:t>
      </w:r>
      <w:r w:rsidRPr="00CE0424">
        <w:t>:</w:t>
      </w:r>
    </w:p>
    <w:p w14:paraId="02091F47" w14:textId="1B72F7F3" w:rsidR="00F129F5" w:rsidRPr="00DF16E1" w:rsidRDefault="008E065E" w:rsidP="00D6273E">
      <w:pPr>
        <w:pStyle w:val="TOC1"/>
        <w:jc w:val="both"/>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F129F5">
        <w:t>Observation 1</w:t>
      </w:r>
      <w:r w:rsidR="00F129F5" w:rsidRPr="00DF16E1">
        <w:rPr>
          <w:rFonts w:asciiTheme="minorHAnsi" w:eastAsiaTheme="minorEastAsia" w:hAnsiTheme="minorHAnsi" w:cstheme="minorBidi"/>
          <w:b w:val="0"/>
          <w:sz w:val="22"/>
          <w:lang w:eastAsia="sv-SE"/>
        </w:rPr>
        <w:tab/>
      </w:r>
      <w:r w:rsidR="00D6273E" w:rsidRPr="00D6273E">
        <w:t>Averaging reduces the influence of individual beams becoming stronger for a limited amount of time, and thus reduces the amount of ping-pong handovers in simplified HO algorithms.</w:t>
      </w:r>
    </w:p>
    <w:p w14:paraId="33019134" w14:textId="77777777" w:rsidR="00F129F5" w:rsidRPr="00DF16E1" w:rsidRDefault="00F129F5" w:rsidP="00D6273E">
      <w:pPr>
        <w:pStyle w:val="TOC1"/>
        <w:jc w:val="both"/>
        <w:rPr>
          <w:rFonts w:asciiTheme="minorHAnsi" w:eastAsiaTheme="minorEastAsia" w:hAnsiTheme="minorHAnsi" w:cstheme="minorBidi"/>
          <w:b w:val="0"/>
          <w:sz w:val="22"/>
          <w:lang w:eastAsia="sv-SE"/>
        </w:rPr>
      </w:pPr>
      <w:r>
        <w:t>Observation 2</w:t>
      </w:r>
      <w:r w:rsidRPr="00DF16E1">
        <w:rPr>
          <w:rFonts w:asciiTheme="minorHAnsi" w:eastAsiaTheme="minorEastAsia" w:hAnsiTheme="minorHAnsi" w:cstheme="minorBidi"/>
          <w:b w:val="0"/>
          <w:sz w:val="22"/>
          <w:lang w:eastAsia="sv-SE"/>
        </w:rPr>
        <w:tab/>
      </w:r>
      <w:r>
        <w:t>Averaging systematically underestimates the cell quality, leading to a higher risk for HOF and RLF.</w:t>
      </w:r>
    </w:p>
    <w:p w14:paraId="5178548F" w14:textId="34F6FB08" w:rsidR="008E065E" w:rsidRDefault="008E065E" w:rsidP="00D6273E">
      <w:pPr>
        <w:pStyle w:val="BodyText"/>
        <w:rPr>
          <w:b/>
          <w:bCs/>
        </w:rPr>
      </w:pPr>
      <w:r>
        <w:rPr>
          <w:b/>
          <w:bCs/>
        </w:rPr>
        <w:fldChar w:fldCharType="end"/>
      </w:r>
    </w:p>
    <w:p w14:paraId="5D8DA353" w14:textId="04B53B39" w:rsidR="00452E40" w:rsidRPr="00DF16E1" w:rsidRDefault="008E065E">
      <w:pPr>
        <w:pStyle w:val="TOC1"/>
        <w:rPr>
          <w:b w:val="0"/>
        </w:rPr>
      </w:pPr>
      <w:r w:rsidRPr="00DF16E1">
        <w:rPr>
          <w:b w:val="0"/>
        </w:rPr>
        <w:t>Based on the discussion we propose the following:</w:t>
      </w:r>
    </w:p>
    <w:p w14:paraId="7D183EDD" w14:textId="77777777" w:rsidR="00452E40" w:rsidRDefault="00452E40">
      <w:pPr>
        <w:pStyle w:val="TOC1"/>
      </w:pPr>
    </w:p>
    <w:p w14:paraId="2552CCB6" w14:textId="30E8A4F6" w:rsidR="00F129F5" w:rsidRPr="00DF16E1" w:rsidRDefault="008E065E" w:rsidP="00D6273E">
      <w:pPr>
        <w:pStyle w:val="TOC1"/>
        <w:jc w:val="both"/>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F129F5" w:rsidRPr="00F06259">
        <w:t>Proposal 1</w:t>
      </w:r>
      <w:r w:rsidR="00F129F5" w:rsidRPr="00DF16E1">
        <w:rPr>
          <w:rFonts w:asciiTheme="minorHAnsi" w:eastAsiaTheme="minorEastAsia" w:hAnsiTheme="minorHAnsi" w:cstheme="minorBidi"/>
          <w:b w:val="0"/>
          <w:sz w:val="22"/>
          <w:lang w:eastAsia="sv-SE"/>
        </w:rPr>
        <w:tab/>
      </w:r>
      <w:r w:rsidR="00D6273E" w:rsidRPr="00D6273E">
        <w:t>The amount of averaging in determining the cell quality will very likely be kept to a minimum in the configuration i.e. despite the agreement to define a parameter N, most of the time N could be set to 1. Hence, N should be an optional parameter.</w:t>
      </w:r>
    </w:p>
    <w:p w14:paraId="63E2D5FF" w14:textId="5BF6C790" w:rsidR="00C01F33" w:rsidRPr="00CE0424" w:rsidRDefault="008E065E" w:rsidP="00D6273E">
      <w:r>
        <w:rPr>
          <w:b/>
          <w:bCs/>
        </w:rPr>
        <w:fldChar w:fldCharType="end"/>
      </w:r>
    </w:p>
    <w:p w14:paraId="10388064" w14:textId="77777777" w:rsidR="00F507D1" w:rsidRPr="00CE0424" w:rsidRDefault="00F507D1" w:rsidP="00CE0424">
      <w:pPr>
        <w:pStyle w:val="Heading1"/>
      </w:pPr>
      <w:bookmarkStart w:id="31" w:name="_In-sequence_SDU_delivery"/>
      <w:bookmarkEnd w:id="31"/>
      <w:r w:rsidRPr="00CE0424">
        <w:t>References</w:t>
      </w:r>
    </w:p>
    <w:p w14:paraId="49BC91BA" w14:textId="77777777" w:rsidR="003072C9" w:rsidRDefault="003072C9" w:rsidP="003072C9">
      <w:pPr>
        <w:pStyle w:val="Reference"/>
      </w:pPr>
      <w:bookmarkStart w:id="32" w:name="_Ref174151459"/>
      <w:bookmarkStart w:id="33" w:name="_Ref189809556"/>
      <w:r>
        <w:t xml:space="preserve">R2-1700681, </w:t>
      </w:r>
      <w:r w:rsidRPr="00473016">
        <w:t>Filtering of RRM measurements in CONNECTED</w:t>
      </w:r>
      <w:r>
        <w:t xml:space="preserve">, RAN2, </w:t>
      </w:r>
      <w:r w:rsidRPr="006E64B5">
        <w:rPr>
          <w:rFonts w:cs="Arial"/>
        </w:rPr>
        <w:t>3GPP TSG-RAN WG2 NR AdHoc, Spokane, USA, 17th – 19th January 2017.</w:t>
      </w:r>
      <w:r w:rsidRPr="00CE0424">
        <w:t xml:space="preserve"> </w:t>
      </w:r>
    </w:p>
    <w:p w14:paraId="08F2337F" w14:textId="77777777" w:rsidR="003072C9" w:rsidRPr="00CE0424" w:rsidRDefault="003072C9" w:rsidP="003072C9">
      <w:pPr>
        <w:pStyle w:val="Reference"/>
      </w:pPr>
      <w:r>
        <w:t xml:space="preserve">R2-1702797, </w:t>
      </w:r>
      <w:r w:rsidRPr="001644AC">
        <w:t>Determination of serving cell quality in NR</w:t>
      </w:r>
      <w:r>
        <w:t xml:space="preserve">, RAN2, </w:t>
      </w:r>
      <w:r w:rsidRPr="006E64B5">
        <w:rPr>
          <w:rFonts w:cs="Arial"/>
        </w:rPr>
        <w:t xml:space="preserve">3GPP TSG-RAN WG2 </w:t>
      </w:r>
      <w:r>
        <w:rPr>
          <w:rFonts w:cs="Arial"/>
        </w:rPr>
        <w:t>#97bis</w:t>
      </w:r>
      <w:r w:rsidRPr="006E64B5">
        <w:rPr>
          <w:rFonts w:cs="Arial"/>
        </w:rPr>
        <w:t xml:space="preserve">, Spokane, USA, </w:t>
      </w:r>
      <w:r>
        <w:rPr>
          <w:rFonts w:cs="Arial"/>
        </w:rPr>
        <w:t>3</w:t>
      </w:r>
      <w:r w:rsidRPr="003072C9">
        <w:rPr>
          <w:rFonts w:cs="Arial"/>
          <w:vertAlign w:val="superscript"/>
        </w:rPr>
        <w:t>rd</w:t>
      </w:r>
      <w:r>
        <w:rPr>
          <w:rFonts w:cs="Arial"/>
        </w:rPr>
        <w:t xml:space="preserve"> </w:t>
      </w:r>
      <w:r w:rsidRPr="006E64B5">
        <w:rPr>
          <w:rFonts w:cs="Arial"/>
        </w:rPr>
        <w:t xml:space="preserve">– </w:t>
      </w:r>
      <w:r>
        <w:rPr>
          <w:rFonts w:cs="Arial"/>
        </w:rPr>
        <w:t>7</w:t>
      </w:r>
      <w:r w:rsidRPr="003072C9">
        <w:rPr>
          <w:rFonts w:cs="Arial"/>
          <w:vertAlign w:val="superscript"/>
        </w:rPr>
        <w:t>th</w:t>
      </w:r>
      <w:r>
        <w:rPr>
          <w:rFonts w:cs="Arial"/>
        </w:rPr>
        <w:t xml:space="preserve"> April </w:t>
      </w:r>
      <w:r w:rsidRPr="006E64B5">
        <w:rPr>
          <w:rFonts w:cs="Arial"/>
        </w:rPr>
        <w:t>2017.</w:t>
      </w:r>
    </w:p>
    <w:p w14:paraId="7D75B0E1" w14:textId="577E9054" w:rsidR="003072C9" w:rsidRDefault="003072C9" w:rsidP="003072C9">
      <w:pPr>
        <w:pStyle w:val="Reference"/>
      </w:pPr>
      <w:r w:rsidRPr="006B6BD2">
        <w:t>R2-1703589</w:t>
      </w:r>
      <w:r>
        <w:t xml:space="preserve">, </w:t>
      </w:r>
      <w:r w:rsidRPr="00807E8E">
        <w:t>Mobility performance in heterogeneous networks</w:t>
      </w:r>
      <w:r>
        <w:t>, RAN2, 3GPP TSG-RAN WG2 #97bis, Spokane, USA, 3</w:t>
      </w:r>
      <w:r w:rsidRPr="00807E8E">
        <w:rPr>
          <w:vertAlign w:val="superscript"/>
        </w:rPr>
        <w:t>rd</w:t>
      </w:r>
      <w:r>
        <w:t xml:space="preserve"> – 7</w:t>
      </w:r>
      <w:r w:rsidRPr="00807E8E">
        <w:rPr>
          <w:vertAlign w:val="superscript"/>
        </w:rPr>
        <w:t>th</w:t>
      </w:r>
      <w:r>
        <w:t xml:space="preserve"> April 2017.</w:t>
      </w:r>
      <w:bookmarkEnd w:id="32"/>
      <w:bookmarkEnd w:id="33"/>
    </w:p>
    <w:p w14:paraId="2D73CEE4" w14:textId="07367920" w:rsidR="00452E40" w:rsidRDefault="00452E40" w:rsidP="00452E40">
      <w:pPr>
        <w:pStyle w:val="Reference"/>
      </w:pPr>
      <w:r w:rsidRPr="006B6BD2">
        <w:t>R2-170</w:t>
      </w:r>
      <w:r>
        <w:t>4101, Details of cell quality derivation, RAN2, 3GPP TSG-RAN WG2 #98, Hangzhou, P.R. of China,  15</w:t>
      </w:r>
      <w:r w:rsidRPr="00DF16E1">
        <w:rPr>
          <w:vertAlign w:val="superscript"/>
        </w:rPr>
        <w:t>th</w:t>
      </w:r>
      <w:r>
        <w:t xml:space="preserve"> – 19</w:t>
      </w:r>
      <w:r w:rsidRPr="00807E8E">
        <w:rPr>
          <w:vertAlign w:val="superscript"/>
        </w:rPr>
        <w:t>th</w:t>
      </w:r>
      <w:r>
        <w:t xml:space="preserve"> May 2017.</w:t>
      </w:r>
    </w:p>
    <w:sectPr w:rsidR="00452E4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09EC6" w14:textId="77777777" w:rsidR="002F775F" w:rsidRDefault="002F775F">
      <w:r>
        <w:separator/>
      </w:r>
    </w:p>
  </w:endnote>
  <w:endnote w:type="continuationSeparator" w:id="0">
    <w:p w14:paraId="72D3B533" w14:textId="77777777" w:rsidR="002F775F" w:rsidRDefault="002F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E9E0F" w14:textId="02238B53" w:rsidR="009C6156" w:rsidRDefault="009C61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650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650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C16BE" w14:textId="77777777" w:rsidR="002F775F" w:rsidRDefault="002F775F">
      <w:r>
        <w:separator/>
      </w:r>
    </w:p>
  </w:footnote>
  <w:footnote w:type="continuationSeparator" w:id="0">
    <w:p w14:paraId="30538FFF" w14:textId="77777777" w:rsidR="002F775F" w:rsidRDefault="002F7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076EA" w14:textId="77777777" w:rsidR="009C6156" w:rsidRDefault="009C61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7A72B9"/>
    <w:multiLevelType w:val="hybridMultilevel"/>
    <w:tmpl w:val="80F26B74"/>
    <w:lvl w:ilvl="0" w:tplc="0DACF124">
      <w:start w:val="1"/>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B5B"/>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5C7"/>
    <w:rsid w:val="000D4797"/>
    <w:rsid w:val="000E0527"/>
    <w:rsid w:val="000E1E92"/>
    <w:rsid w:val="000F06D6"/>
    <w:rsid w:val="000F0EB1"/>
    <w:rsid w:val="000F1106"/>
    <w:rsid w:val="000F3BE9"/>
    <w:rsid w:val="000F3F6C"/>
    <w:rsid w:val="000F6DF3"/>
    <w:rsid w:val="001005FF"/>
    <w:rsid w:val="001062FB"/>
    <w:rsid w:val="001063E6"/>
    <w:rsid w:val="001134F4"/>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234E"/>
    <w:rsid w:val="001F3916"/>
    <w:rsid w:val="001F54C5"/>
    <w:rsid w:val="001F662C"/>
    <w:rsid w:val="001F7074"/>
    <w:rsid w:val="00200490"/>
    <w:rsid w:val="00201F3A"/>
    <w:rsid w:val="00203F96"/>
    <w:rsid w:val="002069B2"/>
    <w:rsid w:val="00207FA3"/>
    <w:rsid w:val="00214A27"/>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4C1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775F"/>
    <w:rsid w:val="00301CE6"/>
    <w:rsid w:val="0030256B"/>
    <w:rsid w:val="0030501F"/>
    <w:rsid w:val="00307220"/>
    <w:rsid w:val="003072C9"/>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1B18"/>
    <w:rsid w:val="003742AC"/>
    <w:rsid w:val="00377CE1"/>
    <w:rsid w:val="00385BF0"/>
    <w:rsid w:val="003939FF"/>
    <w:rsid w:val="00397DE8"/>
    <w:rsid w:val="003A2223"/>
    <w:rsid w:val="003A2A0F"/>
    <w:rsid w:val="003A45A1"/>
    <w:rsid w:val="003A5B0A"/>
    <w:rsid w:val="003A6BAC"/>
    <w:rsid w:val="003A7EF3"/>
    <w:rsid w:val="003B159C"/>
    <w:rsid w:val="003B369F"/>
    <w:rsid w:val="003B36A3"/>
    <w:rsid w:val="003B460B"/>
    <w:rsid w:val="003B7FE5"/>
    <w:rsid w:val="003C011B"/>
    <w:rsid w:val="003C11C8"/>
    <w:rsid w:val="003C2702"/>
    <w:rsid w:val="003C7806"/>
    <w:rsid w:val="003D109F"/>
    <w:rsid w:val="003D2478"/>
    <w:rsid w:val="003D3C45"/>
    <w:rsid w:val="003D5B1F"/>
    <w:rsid w:val="003E15FA"/>
    <w:rsid w:val="003E3287"/>
    <w:rsid w:val="003E55E4"/>
    <w:rsid w:val="003E74E3"/>
    <w:rsid w:val="003F05C7"/>
    <w:rsid w:val="003F2CD4"/>
    <w:rsid w:val="003F43B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2E40"/>
    <w:rsid w:val="00457565"/>
    <w:rsid w:val="00457B71"/>
    <w:rsid w:val="004669E2"/>
    <w:rsid w:val="00470C31"/>
    <w:rsid w:val="004734D0"/>
    <w:rsid w:val="0047556B"/>
    <w:rsid w:val="00477768"/>
    <w:rsid w:val="0048021B"/>
    <w:rsid w:val="00492BC5"/>
    <w:rsid w:val="004964F1"/>
    <w:rsid w:val="004A16BC"/>
    <w:rsid w:val="004A2B94"/>
    <w:rsid w:val="004B7C0C"/>
    <w:rsid w:val="004C2DB9"/>
    <w:rsid w:val="004C360B"/>
    <w:rsid w:val="004C3898"/>
    <w:rsid w:val="004D36B1"/>
    <w:rsid w:val="004D7EBD"/>
    <w:rsid w:val="004E2680"/>
    <w:rsid w:val="004E28F9"/>
    <w:rsid w:val="004E462E"/>
    <w:rsid w:val="004E56DC"/>
    <w:rsid w:val="004E6D96"/>
    <w:rsid w:val="004E76F4"/>
    <w:rsid w:val="004F0B4E"/>
    <w:rsid w:val="004F0B6C"/>
    <w:rsid w:val="004F2078"/>
    <w:rsid w:val="004F4DA3"/>
    <w:rsid w:val="00506557"/>
    <w:rsid w:val="0050677A"/>
    <w:rsid w:val="005108D8"/>
    <w:rsid w:val="005116F9"/>
    <w:rsid w:val="005153A7"/>
    <w:rsid w:val="00517AC6"/>
    <w:rsid w:val="005219CF"/>
    <w:rsid w:val="00534B59"/>
    <w:rsid w:val="00535CD1"/>
    <w:rsid w:val="00536759"/>
    <w:rsid w:val="00537C62"/>
    <w:rsid w:val="00546970"/>
    <w:rsid w:val="00554E19"/>
    <w:rsid w:val="0056121F"/>
    <w:rsid w:val="0056265E"/>
    <w:rsid w:val="00572505"/>
    <w:rsid w:val="00576D7F"/>
    <w:rsid w:val="00582809"/>
    <w:rsid w:val="0058798C"/>
    <w:rsid w:val="005900FA"/>
    <w:rsid w:val="005935A4"/>
    <w:rsid w:val="005948C2"/>
    <w:rsid w:val="00595DCA"/>
    <w:rsid w:val="0059779B"/>
    <w:rsid w:val="005A209A"/>
    <w:rsid w:val="005A297F"/>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E90"/>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2BA"/>
    <w:rsid w:val="00695FC2"/>
    <w:rsid w:val="00696949"/>
    <w:rsid w:val="00697052"/>
    <w:rsid w:val="006A46FB"/>
    <w:rsid w:val="006A5E28"/>
    <w:rsid w:val="006A697B"/>
    <w:rsid w:val="006A7AFF"/>
    <w:rsid w:val="006B1816"/>
    <w:rsid w:val="006B2099"/>
    <w:rsid w:val="006B50CF"/>
    <w:rsid w:val="006C03B8"/>
    <w:rsid w:val="006C4676"/>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1A6"/>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80B5B"/>
    <w:rsid w:val="00894A88"/>
    <w:rsid w:val="00895386"/>
    <w:rsid w:val="00897050"/>
    <w:rsid w:val="008A21FF"/>
    <w:rsid w:val="008A2CE2"/>
    <w:rsid w:val="008A30AC"/>
    <w:rsid w:val="008A44B8"/>
    <w:rsid w:val="008A51A8"/>
    <w:rsid w:val="008A54C7"/>
    <w:rsid w:val="008A77D8"/>
    <w:rsid w:val="008B0483"/>
    <w:rsid w:val="008B08EB"/>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374"/>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824"/>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50E"/>
    <w:rsid w:val="009B7E87"/>
    <w:rsid w:val="009C403E"/>
    <w:rsid w:val="009C6156"/>
    <w:rsid w:val="009D4FF0"/>
    <w:rsid w:val="009D703C"/>
    <w:rsid w:val="009D718F"/>
    <w:rsid w:val="009E068F"/>
    <w:rsid w:val="009E14E0"/>
    <w:rsid w:val="009E35DB"/>
    <w:rsid w:val="009E47A3"/>
    <w:rsid w:val="009F08F3"/>
    <w:rsid w:val="009F344F"/>
    <w:rsid w:val="00A029AA"/>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65EC"/>
    <w:rsid w:val="00A77EC4"/>
    <w:rsid w:val="00A8050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0479"/>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86A6B"/>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273E"/>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6E1"/>
    <w:rsid w:val="00DF37A0"/>
    <w:rsid w:val="00E110E7"/>
    <w:rsid w:val="00E11151"/>
    <w:rsid w:val="00E11B20"/>
    <w:rsid w:val="00E12973"/>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9F5"/>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BCC"/>
    <w:rsid w:val="00F76EFA"/>
    <w:rsid w:val="00F804BE"/>
    <w:rsid w:val="00F817CE"/>
    <w:rsid w:val="00F81F1B"/>
    <w:rsid w:val="00F8456C"/>
    <w:rsid w:val="00F859D8"/>
    <w:rsid w:val="00F868F5"/>
    <w:rsid w:val="00F9056A"/>
    <w:rsid w:val="00F90F8D"/>
    <w:rsid w:val="00F92782"/>
    <w:rsid w:val="00F93AA9"/>
    <w:rsid w:val="00F96985"/>
    <w:rsid w:val="00F97838"/>
    <w:rsid w:val="00FA2BB3"/>
    <w:rsid w:val="00FB187A"/>
    <w:rsid w:val="00FB4C80"/>
    <w:rsid w:val="00FB6A6A"/>
    <w:rsid w:val="00FC7429"/>
    <w:rsid w:val="00FD07F6"/>
    <w:rsid w:val="00FD1EC8"/>
    <w:rsid w:val="00FD47ED"/>
    <w:rsid w:val="00FD5DF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17CBB"/>
  <w15:chartTrackingRefBased/>
  <w15:docId w15:val="{41EAA0B0-7891-4F87-A56B-842AF695C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B187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B187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B187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B187A"/>
    <w:pPr>
      <w:numPr>
        <w:ilvl w:val="2"/>
      </w:numPr>
      <w:spacing w:before="120"/>
      <w:outlineLvl w:val="2"/>
    </w:pPr>
    <w:rPr>
      <w:sz w:val="28"/>
      <w:szCs w:val="28"/>
    </w:rPr>
  </w:style>
  <w:style w:type="paragraph" w:styleId="Heading4">
    <w:name w:val="heading 4"/>
    <w:basedOn w:val="Heading3"/>
    <w:next w:val="Normal"/>
    <w:qFormat/>
    <w:rsid w:val="00FB187A"/>
    <w:pPr>
      <w:numPr>
        <w:ilvl w:val="3"/>
      </w:numPr>
      <w:outlineLvl w:val="3"/>
    </w:pPr>
    <w:rPr>
      <w:sz w:val="24"/>
      <w:szCs w:val="24"/>
    </w:rPr>
  </w:style>
  <w:style w:type="paragraph" w:styleId="Heading5">
    <w:name w:val="heading 5"/>
    <w:basedOn w:val="Heading4"/>
    <w:next w:val="Normal"/>
    <w:qFormat/>
    <w:rsid w:val="00FB187A"/>
    <w:pPr>
      <w:numPr>
        <w:ilvl w:val="4"/>
      </w:numPr>
      <w:outlineLvl w:val="4"/>
    </w:pPr>
    <w:rPr>
      <w:sz w:val="22"/>
      <w:szCs w:val="22"/>
    </w:rPr>
  </w:style>
  <w:style w:type="paragraph" w:styleId="Heading6">
    <w:name w:val="heading 6"/>
    <w:basedOn w:val="Normal"/>
    <w:next w:val="Normal"/>
    <w:qFormat/>
    <w:rsid w:val="00FB187A"/>
    <w:pPr>
      <w:keepNext/>
      <w:keepLines/>
      <w:numPr>
        <w:ilvl w:val="5"/>
        <w:numId w:val="1"/>
      </w:numPr>
      <w:spacing w:before="120"/>
      <w:outlineLvl w:val="5"/>
    </w:pPr>
    <w:rPr>
      <w:rFonts w:cs="Arial"/>
    </w:rPr>
  </w:style>
  <w:style w:type="paragraph" w:styleId="Heading7">
    <w:name w:val="heading 7"/>
    <w:basedOn w:val="Normal"/>
    <w:next w:val="Normal"/>
    <w:qFormat/>
    <w:rsid w:val="00FB187A"/>
    <w:pPr>
      <w:keepNext/>
      <w:keepLines/>
      <w:numPr>
        <w:ilvl w:val="6"/>
        <w:numId w:val="1"/>
      </w:numPr>
      <w:spacing w:before="120"/>
      <w:outlineLvl w:val="6"/>
    </w:pPr>
    <w:rPr>
      <w:rFonts w:cs="Arial"/>
    </w:rPr>
  </w:style>
  <w:style w:type="paragraph" w:styleId="Heading8">
    <w:name w:val="heading 8"/>
    <w:basedOn w:val="Heading7"/>
    <w:next w:val="Normal"/>
    <w:qFormat/>
    <w:rsid w:val="00FB187A"/>
    <w:pPr>
      <w:numPr>
        <w:ilvl w:val="7"/>
      </w:numPr>
      <w:outlineLvl w:val="7"/>
    </w:pPr>
  </w:style>
  <w:style w:type="paragraph" w:styleId="Heading9">
    <w:name w:val="heading 9"/>
    <w:basedOn w:val="Heading8"/>
    <w:next w:val="Normal"/>
    <w:qFormat/>
    <w:rsid w:val="00FB18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B187A"/>
    <w:pPr>
      <w:spacing w:before="180"/>
      <w:ind w:left="2693" w:hanging="2693"/>
    </w:pPr>
    <w:rPr>
      <w:b w:val="0"/>
      <w:bCs/>
    </w:rPr>
  </w:style>
  <w:style w:type="paragraph" w:styleId="TOC1">
    <w:name w:val="toc 1"/>
    <w:aliases w:val="Observation TOC2"/>
    <w:uiPriority w:val="39"/>
    <w:rsid w:val="00FB187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B187A"/>
    <w:pPr>
      <w:keepNext/>
      <w:keepLines/>
      <w:spacing w:before="180"/>
      <w:jc w:val="center"/>
    </w:pPr>
  </w:style>
  <w:style w:type="paragraph" w:styleId="Caption">
    <w:name w:val="caption"/>
    <w:basedOn w:val="Normal"/>
    <w:next w:val="Normal"/>
    <w:qFormat/>
    <w:rsid w:val="00FB187A"/>
    <w:pPr>
      <w:spacing w:after="240"/>
      <w:jc w:val="center"/>
    </w:pPr>
    <w:rPr>
      <w:b/>
      <w:bCs/>
    </w:rPr>
  </w:style>
  <w:style w:type="paragraph" w:styleId="TOC5">
    <w:name w:val="toc 5"/>
    <w:aliases w:val="Observation TOC"/>
    <w:basedOn w:val="TOC4"/>
    <w:semiHidden/>
    <w:rsid w:val="00FB187A"/>
    <w:pPr>
      <w:tabs>
        <w:tab w:val="right" w:pos="1701"/>
      </w:tabs>
      <w:ind w:left="1701" w:hanging="1701"/>
    </w:pPr>
  </w:style>
  <w:style w:type="paragraph" w:styleId="TOC4">
    <w:name w:val="toc 4"/>
    <w:basedOn w:val="TOC3"/>
    <w:semiHidden/>
    <w:rsid w:val="00FB187A"/>
    <w:pPr>
      <w:ind w:left="1418" w:hanging="1418"/>
    </w:pPr>
  </w:style>
  <w:style w:type="paragraph" w:styleId="TOC3">
    <w:name w:val="toc 3"/>
    <w:basedOn w:val="TOC2"/>
    <w:semiHidden/>
    <w:rsid w:val="00FB187A"/>
    <w:pPr>
      <w:ind w:left="1134" w:hanging="1134"/>
    </w:pPr>
  </w:style>
  <w:style w:type="paragraph" w:styleId="TOC2">
    <w:name w:val="toc 2"/>
    <w:basedOn w:val="TOC1"/>
    <w:semiHidden/>
    <w:rsid w:val="00FB187A"/>
    <w:pPr>
      <w:keepNext w:val="0"/>
      <w:spacing w:before="0"/>
      <w:ind w:left="851" w:hanging="851"/>
    </w:pPr>
    <w:rPr>
      <w:szCs w:val="20"/>
    </w:rPr>
  </w:style>
  <w:style w:type="paragraph" w:styleId="Index2">
    <w:name w:val="index 2"/>
    <w:basedOn w:val="Index1"/>
    <w:semiHidden/>
    <w:rsid w:val="00FB187A"/>
    <w:pPr>
      <w:ind w:left="284"/>
    </w:pPr>
  </w:style>
  <w:style w:type="paragraph" w:styleId="Index1">
    <w:name w:val="index 1"/>
    <w:basedOn w:val="Normal"/>
    <w:semiHidden/>
    <w:rsid w:val="00FB187A"/>
    <w:pPr>
      <w:keepLines/>
      <w:spacing w:after="0"/>
    </w:pPr>
  </w:style>
  <w:style w:type="paragraph" w:styleId="DocumentMap">
    <w:name w:val="Document Map"/>
    <w:basedOn w:val="Normal"/>
    <w:semiHidden/>
    <w:rsid w:val="00FB187A"/>
    <w:pPr>
      <w:shd w:val="clear" w:color="auto" w:fill="000080"/>
    </w:pPr>
    <w:rPr>
      <w:rFonts w:ascii="Tahoma" w:hAnsi="Tahoma" w:cs="Tahoma"/>
    </w:rPr>
  </w:style>
  <w:style w:type="paragraph" w:styleId="ListNumber2">
    <w:name w:val="List Number 2"/>
    <w:basedOn w:val="ListNumber"/>
    <w:rsid w:val="00FB187A"/>
    <w:pPr>
      <w:ind w:left="851"/>
    </w:pPr>
  </w:style>
  <w:style w:type="paragraph" w:styleId="ListNumber">
    <w:name w:val="List Number"/>
    <w:basedOn w:val="List"/>
    <w:rsid w:val="00FB187A"/>
  </w:style>
  <w:style w:type="paragraph" w:styleId="List">
    <w:name w:val="List"/>
    <w:basedOn w:val="Normal"/>
    <w:rsid w:val="00FB187A"/>
    <w:pPr>
      <w:ind w:left="568" w:hanging="284"/>
    </w:pPr>
  </w:style>
  <w:style w:type="paragraph" w:styleId="Header">
    <w:name w:val="header"/>
    <w:rsid w:val="00FB187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B187A"/>
    <w:rPr>
      <w:b/>
      <w:bCs/>
      <w:position w:val="6"/>
      <w:sz w:val="16"/>
      <w:szCs w:val="16"/>
    </w:rPr>
  </w:style>
  <w:style w:type="paragraph" w:styleId="FootnoteText">
    <w:name w:val="footnote text"/>
    <w:basedOn w:val="Normal"/>
    <w:semiHidden/>
    <w:rsid w:val="00FB187A"/>
    <w:pPr>
      <w:keepLines/>
      <w:spacing w:after="0"/>
      <w:ind w:left="454" w:hanging="454"/>
    </w:pPr>
    <w:rPr>
      <w:sz w:val="16"/>
      <w:szCs w:val="16"/>
    </w:rPr>
  </w:style>
  <w:style w:type="paragraph" w:customStyle="1" w:styleId="3GPPHeader">
    <w:name w:val="3GPP_Header"/>
    <w:basedOn w:val="Normal"/>
    <w:rsid w:val="00FB187A"/>
    <w:pPr>
      <w:tabs>
        <w:tab w:val="left" w:pos="1701"/>
        <w:tab w:val="right" w:pos="9639"/>
      </w:tabs>
      <w:spacing w:after="240"/>
    </w:pPr>
    <w:rPr>
      <w:b/>
      <w:sz w:val="24"/>
    </w:rPr>
  </w:style>
  <w:style w:type="paragraph" w:styleId="TOC9">
    <w:name w:val="toc 9"/>
    <w:basedOn w:val="TOC8"/>
    <w:semiHidden/>
    <w:rsid w:val="00FB187A"/>
    <w:pPr>
      <w:ind w:left="1418" w:hanging="1418"/>
    </w:pPr>
  </w:style>
  <w:style w:type="paragraph" w:styleId="TOC6">
    <w:name w:val="toc 6"/>
    <w:basedOn w:val="TOC5"/>
    <w:next w:val="Normal"/>
    <w:semiHidden/>
    <w:rsid w:val="00FB187A"/>
    <w:pPr>
      <w:ind w:left="1985" w:hanging="1985"/>
    </w:pPr>
  </w:style>
  <w:style w:type="paragraph" w:styleId="TOC7">
    <w:name w:val="toc 7"/>
    <w:basedOn w:val="TOC6"/>
    <w:next w:val="Normal"/>
    <w:semiHidden/>
    <w:rsid w:val="00FB187A"/>
    <w:pPr>
      <w:ind w:left="2268" w:hanging="2268"/>
    </w:pPr>
  </w:style>
  <w:style w:type="paragraph" w:styleId="ListBullet2">
    <w:name w:val="List Bullet 2"/>
    <w:basedOn w:val="ListBullet"/>
    <w:rsid w:val="00FB187A"/>
    <w:pPr>
      <w:numPr>
        <w:numId w:val="6"/>
      </w:numPr>
    </w:pPr>
  </w:style>
  <w:style w:type="paragraph" w:styleId="ListBullet">
    <w:name w:val="List Bullet"/>
    <w:basedOn w:val="BodyText"/>
    <w:rsid w:val="00FB187A"/>
    <w:pPr>
      <w:numPr>
        <w:numId w:val="5"/>
      </w:numPr>
    </w:pPr>
  </w:style>
  <w:style w:type="paragraph" w:styleId="ListBullet3">
    <w:name w:val="List Bullet 3"/>
    <w:basedOn w:val="ListBullet2"/>
    <w:rsid w:val="00FB187A"/>
    <w:pPr>
      <w:numPr>
        <w:numId w:val="7"/>
      </w:numPr>
    </w:pPr>
  </w:style>
  <w:style w:type="paragraph" w:customStyle="1" w:styleId="EQ">
    <w:name w:val="EQ"/>
    <w:basedOn w:val="Normal"/>
    <w:next w:val="Normal"/>
    <w:rsid w:val="00FB187A"/>
    <w:pPr>
      <w:keepLines/>
      <w:tabs>
        <w:tab w:val="center" w:pos="4536"/>
        <w:tab w:val="right" w:pos="9072"/>
      </w:tabs>
      <w:spacing w:after="180"/>
      <w:jc w:val="left"/>
    </w:pPr>
    <w:rPr>
      <w:noProof/>
      <w:lang w:eastAsia="en-US"/>
    </w:rPr>
  </w:style>
  <w:style w:type="paragraph" w:styleId="List2">
    <w:name w:val="List 2"/>
    <w:basedOn w:val="List"/>
    <w:rsid w:val="00FB187A"/>
    <w:pPr>
      <w:ind w:left="851"/>
    </w:pPr>
  </w:style>
  <w:style w:type="paragraph" w:styleId="List3">
    <w:name w:val="List 3"/>
    <w:basedOn w:val="List2"/>
    <w:rsid w:val="00FB187A"/>
    <w:pPr>
      <w:ind w:left="1135"/>
    </w:pPr>
  </w:style>
  <w:style w:type="paragraph" w:styleId="List4">
    <w:name w:val="List 4"/>
    <w:basedOn w:val="List3"/>
    <w:rsid w:val="00FB187A"/>
    <w:pPr>
      <w:ind w:left="1418"/>
    </w:pPr>
  </w:style>
  <w:style w:type="paragraph" w:styleId="List5">
    <w:name w:val="List 5"/>
    <w:basedOn w:val="List4"/>
    <w:rsid w:val="00FB187A"/>
    <w:pPr>
      <w:ind w:left="1702"/>
    </w:pPr>
  </w:style>
  <w:style w:type="paragraph" w:customStyle="1" w:styleId="EditorsNote">
    <w:name w:val="Editor's Note"/>
    <w:basedOn w:val="Normal"/>
    <w:rsid w:val="00FB187A"/>
    <w:pPr>
      <w:keepLines/>
      <w:spacing w:after="180"/>
      <w:ind w:left="1135" w:hanging="851"/>
      <w:jc w:val="left"/>
    </w:pPr>
    <w:rPr>
      <w:color w:val="FF0000"/>
      <w:lang w:eastAsia="en-US"/>
    </w:rPr>
  </w:style>
  <w:style w:type="paragraph" w:styleId="ListBullet4">
    <w:name w:val="List Bullet 4"/>
    <w:basedOn w:val="ListBullet3"/>
    <w:rsid w:val="00FB187A"/>
    <w:pPr>
      <w:numPr>
        <w:numId w:val="8"/>
      </w:numPr>
    </w:pPr>
  </w:style>
  <w:style w:type="paragraph" w:styleId="ListBullet5">
    <w:name w:val="List Bullet 5"/>
    <w:basedOn w:val="ListBullet4"/>
    <w:rsid w:val="00FB187A"/>
    <w:pPr>
      <w:numPr>
        <w:numId w:val="4"/>
      </w:numPr>
    </w:pPr>
  </w:style>
  <w:style w:type="paragraph" w:styleId="Footer">
    <w:name w:val="footer"/>
    <w:basedOn w:val="Header"/>
    <w:semiHidden/>
    <w:rsid w:val="00FB187A"/>
    <w:pPr>
      <w:jc w:val="center"/>
    </w:pPr>
    <w:rPr>
      <w:i/>
      <w:iCs/>
    </w:rPr>
  </w:style>
  <w:style w:type="paragraph" w:customStyle="1" w:styleId="Reference">
    <w:name w:val="Reference"/>
    <w:basedOn w:val="Normal"/>
    <w:rsid w:val="00FB187A"/>
    <w:pPr>
      <w:numPr>
        <w:numId w:val="2"/>
      </w:numPr>
    </w:pPr>
  </w:style>
  <w:style w:type="paragraph" w:styleId="BalloonText">
    <w:name w:val="Balloon Text"/>
    <w:basedOn w:val="Normal"/>
    <w:semiHidden/>
    <w:rsid w:val="00FB187A"/>
    <w:rPr>
      <w:rFonts w:ascii="Tahoma" w:hAnsi="Tahoma" w:cs="Tahoma"/>
      <w:sz w:val="16"/>
      <w:szCs w:val="16"/>
    </w:rPr>
  </w:style>
  <w:style w:type="character" w:styleId="PageNumber">
    <w:name w:val="page number"/>
    <w:basedOn w:val="DefaultParagraphFont"/>
    <w:semiHidden/>
    <w:rsid w:val="00FB187A"/>
  </w:style>
  <w:style w:type="paragraph" w:styleId="BodyText">
    <w:name w:val="Body Text"/>
    <w:basedOn w:val="Normal"/>
    <w:link w:val="BodyTextChar"/>
    <w:rsid w:val="00FB187A"/>
  </w:style>
  <w:style w:type="character" w:styleId="Hyperlink">
    <w:name w:val="Hyperlink"/>
    <w:uiPriority w:val="99"/>
    <w:rsid w:val="00FB187A"/>
    <w:rPr>
      <w:color w:val="0000FF"/>
      <w:u w:val="single"/>
      <w:lang w:val="en-GB"/>
    </w:rPr>
  </w:style>
  <w:style w:type="character" w:styleId="FollowedHyperlink">
    <w:name w:val="FollowedHyperlink"/>
    <w:semiHidden/>
    <w:rsid w:val="00FB187A"/>
    <w:rPr>
      <w:color w:val="FF0000"/>
      <w:u w:val="single"/>
    </w:rPr>
  </w:style>
  <w:style w:type="character" w:styleId="CommentReference">
    <w:name w:val="annotation reference"/>
    <w:semiHidden/>
    <w:rsid w:val="00FB187A"/>
    <w:rPr>
      <w:sz w:val="16"/>
      <w:szCs w:val="16"/>
    </w:rPr>
  </w:style>
  <w:style w:type="paragraph" w:styleId="CommentText">
    <w:name w:val="annotation text"/>
    <w:basedOn w:val="Normal"/>
    <w:semiHidden/>
    <w:rsid w:val="00FB187A"/>
  </w:style>
  <w:style w:type="paragraph" w:styleId="CommentSubject">
    <w:name w:val="annotation subject"/>
    <w:basedOn w:val="CommentText"/>
    <w:next w:val="CommentText"/>
    <w:semiHidden/>
    <w:rsid w:val="00FB187A"/>
    <w:rPr>
      <w:b/>
      <w:bCs/>
    </w:rPr>
  </w:style>
  <w:style w:type="character" w:customStyle="1" w:styleId="Heading1Char">
    <w:name w:val="Heading 1 Char"/>
    <w:link w:val="Heading1"/>
    <w:rsid w:val="00FB187A"/>
    <w:rPr>
      <w:rFonts w:ascii="Arial" w:hAnsi="Arial" w:cs="Arial"/>
      <w:sz w:val="36"/>
      <w:szCs w:val="36"/>
      <w:lang w:val="en-GB" w:eastAsia="zh-CN"/>
    </w:rPr>
  </w:style>
  <w:style w:type="paragraph" w:customStyle="1" w:styleId="B1">
    <w:name w:val="B1"/>
    <w:basedOn w:val="List"/>
    <w:rsid w:val="00FB187A"/>
    <w:pPr>
      <w:spacing w:after="180"/>
      <w:jc w:val="left"/>
    </w:pPr>
    <w:rPr>
      <w:lang w:eastAsia="en-US"/>
    </w:rPr>
  </w:style>
  <w:style w:type="paragraph" w:customStyle="1" w:styleId="B2">
    <w:name w:val="B2"/>
    <w:basedOn w:val="List2"/>
    <w:rsid w:val="00FB187A"/>
    <w:pPr>
      <w:spacing w:after="180"/>
      <w:jc w:val="left"/>
    </w:pPr>
    <w:rPr>
      <w:lang w:eastAsia="en-US"/>
    </w:rPr>
  </w:style>
  <w:style w:type="paragraph" w:customStyle="1" w:styleId="B3">
    <w:name w:val="B3"/>
    <w:basedOn w:val="List3"/>
    <w:rsid w:val="00FB187A"/>
    <w:pPr>
      <w:spacing w:after="180"/>
      <w:jc w:val="left"/>
    </w:pPr>
    <w:rPr>
      <w:lang w:eastAsia="en-US"/>
    </w:rPr>
  </w:style>
  <w:style w:type="paragraph" w:customStyle="1" w:styleId="B4">
    <w:name w:val="B4"/>
    <w:basedOn w:val="List4"/>
    <w:rsid w:val="00FB187A"/>
    <w:pPr>
      <w:spacing w:after="180"/>
      <w:jc w:val="left"/>
    </w:pPr>
    <w:rPr>
      <w:lang w:eastAsia="en-US"/>
    </w:rPr>
  </w:style>
  <w:style w:type="paragraph" w:customStyle="1" w:styleId="Proposal">
    <w:name w:val="Proposal"/>
    <w:basedOn w:val="Normal"/>
    <w:rsid w:val="00FB187A"/>
    <w:pPr>
      <w:numPr>
        <w:numId w:val="3"/>
      </w:numPr>
      <w:tabs>
        <w:tab w:val="clear" w:pos="1304"/>
        <w:tab w:val="left" w:pos="1701"/>
      </w:tabs>
      <w:ind w:left="1701" w:hanging="1701"/>
    </w:pPr>
    <w:rPr>
      <w:b/>
      <w:bCs/>
    </w:rPr>
  </w:style>
  <w:style w:type="character" w:customStyle="1" w:styleId="BodyTextChar">
    <w:name w:val="Body Text Char"/>
    <w:link w:val="BodyText"/>
    <w:rsid w:val="00FB187A"/>
    <w:rPr>
      <w:rFonts w:ascii="Arial" w:hAnsi="Arial"/>
      <w:lang w:val="en-GB" w:eastAsia="zh-CN"/>
    </w:rPr>
  </w:style>
  <w:style w:type="paragraph" w:customStyle="1" w:styleId="B5">
    <w:name w:val="B5"/>
    <w:basedOn w:val="List5"/>
    <w:rsid w:val="00FB187A"/>
    <w:pPr>
      <w:spacing w:after="180"/>
      <w:jc w:val="left"/>
    </w:pPr>
    <w:rPr>
      <w:lang w:eastAsia="en-US"/>
    </w:rPr>
  </w:style>
  <w:style w:type="paragraph" w:customStyle="1" w:styleId="EX">
    <w:name w:val="EX"/>
    <w:basedOn w:val="Normal"/>
    <w:rsid w:val="00FB187A"/>
    <w:pPr>
      <w:keepLines/>
      <w:spacing w:after="180"/>
      <w:ind w:left="1702" w:hanging="1418"/>
      <w:jc w:val="left"/>
    </w:pPr>
    <w:rPr>
      <w:lang w:eastAsia="en-US"/>
    </w:rPr>
  </w:style>
  <w:style w:type="paragraph" w:customStyle="1" w:styleId="EW">
    <w:name w:val="EW"/>
    <w:basedOn w:val="EX"/>
    <w:rsid w:val="00FB187A"/>
    <w:pPr>
      <w:spacing w:after="0"/>
    </w:pPr>
  </w:style>
  <w:style w:type="paragraph" w:customStyle="1" w:styleId="TAL">
    <w:name w:val="TAL"/>
    <w:basedOn w:val="Normal"/>
    <w:rsid w:val="00FB187A"/>
    <w:pPr>
      <w:keepNext/>
      <w:keepLines/>
      <w:spacing w:after="0"/>
      <w:jc w:val="left"/>
    </w:pPr>
    <w:rPr>
      <w:sz w:val="18"/>
      <w:lang w:eastAsia="en-US"/>
    </w:rPr>
  </w:style>
  <w:style w:type="paragraph" w:customStyle="1" w:styleId="TAC">
    <w:name w:val="TAC"/>
    <w:basedOn w:val="TAL"/>
    <w:rsid w:val="00FB187A"/>
    <w:pPr>
      <w:jc w:val="center"/>
    </w:pPr>
  </w:style>
  <w:style w:type="paragraph" w:customStyle="1" w:styleId="TAH">
    <w:name w:val="TAH"/>
    <w:basedOn w:val="TAC"/>
    <w:rsid w:val="00FB187A"/>
    <w:rPr>
      <w:b/>
    </w:rPr>
  </w:style>
  <w:style w:type="paragraph" w:customStyle="1" w:styleId="TAN">
    <w:name w:val="TAN"/>
    <w:basedOn w:val="TAL"/>
    <w:rsid w:val="00FB187A"/>
    <w:pPr>
      <w:ind w:left="851" w:hanging="851"/>
    </w:pPr>
  </w:style>
  <w:style w:type="paragraph" w:customStyle="1" w:styleId="TAR">
    <w:name w:val="TAR"/>
    <w:basedOn w:val="TAL"/>
    <w:rsid w:val="00FB187A"/>
    <w:pPr>
      <w:jc w:val="right"/>
    </w:pPr>
  </w:style>
  <w:style w:type="paragraph" w:customStyle="1" w:styleId="TH">
    <w:name w:val="TH"/>
    <w:basedOn w:val="Normal"/>
    <w:rsid w:val="00FB187A"/>
    <w:pPr>
      <w:keepNext/>
      <w:keepLines/>
      <w:spacing w:before="60" w:after="180"/>
      <w:jc w:val="center"/>
    </w:pPr>
    <w:rPr>
      <w:b/>
      <w:lang w:eastAsia="en-US"/>
    </w:rPr>
  </w:style>
  <w:style w:type="paragraph" w:customStyle="1" w:styleId="TF">
    <w:name w:val="TF"/>
    <w:basedOn w:val="TH"/>
    <w:rsid w:val="00FB187A"/>
    <w:pPr>
      <w:keepNext w:val="0"/>
      <w:spacing w:before="0" w:after="240"/>
    </w:pPr>
  </w:style>
  <w:style w:type="paragraph" w:customStyle="1" w:styleId="TT">
    <w:name w:val="TT"/>
    <w:basedOn w:val="Heading1"/>
    <w:next w:val="Normal"/>
    <w:rsid w:val="00FB187A"/>
    <w:pPr>
      <w:numPr>
        <w:numId w:val="0"/>
      </w:numPr>
      <w:ind w:left="1134" w:hanging="1134"/>
      <w:outlineLvl w:val="9"/>
    </w:pPr>
    <w:rPr>
      <w:rFonts w:cs="Times New Roman"/>
      <w:szCs w:val="20"/>
      <w:lang w:eastAsia="en-US"/>
    </w:rPr>
  </w:style>
  <w:style w:type="paragraph" w:customStyle="1" w:styleId="ZA">
    <w:name w:val="ZA"/>
    <w:rsid w:val="00FB18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18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18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B18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B187A"/>
  </w:style>
  <w:style w:type="paragraph" w:customStyle="1" w:styleId="ZH">
    <w:name w:val="ZH"/>
    <w:rsid w:val="00FB18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B18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B187A"/>
    <w:pPr>
      <w:framePr w:hRule="auto" w:wrap="notBeside" w:y="852"/>
    </w:pPr>
    <w:rPr>
      <w:i w:val="0"/>
      <w:sz w:val="40"/>
    </w:rPr>
  </w:style>
  <w:style w:type="paragraph" w:customStyle="1" w:styleId="ZU">
    <w:name w:val="ZU"/>
    <w:rsid w:val="00FB18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187A"/>
    <w:pPr>
      <w:framePr w:wrap="notBeside" w:y="16161"/>
    </w:pPr>
  </w:style>
  <w:style w:type="paragraph" w:customStyle="1" w:styleId="FP">
    <w:name w:val="FP"/>
    <w:basedOn w:val="Normal"/>
    <w:rsid w:val="00FB187A"/>
    <w:pPr>
      <w:spacing w:after="0"/>
      <w:jc w:val="left"/>
    </w:pPr>
    <w:rPr>
      <w:lang w:eastAsia="en-US"/>
    </w:rPr>
  </w:style>
  <w:style w:type="paragraph" w:customStyle="1" w:styleId="Observation">
    <w:name w:val="Observation"/>
    <w:basedOn w:val="Proposal"/>
    <w:qFormat/>
    <w:rsid w:val="00FB187A"/>
    <w:pPr>
      <w:numPr>
        <w:numId w:val="13"/>
      </w:numPr>
      <w:ind w:left="1701" w:hanging="1701"/>
    </w:pPr>
  </w:style>
  <w:style w:type="paragraph" w:styleId="TableofFigures">
    <w:name w:val="table of figures"/>
    <w:basedOn w:val="Normal"/>
    <w:next w:val="Normal"/>
    <w:uiPriority w:val="99"/>
    <w:rsid w:val="00FB187A"/>
    <w:pPr>
      <w:ind w:left="1418" w:hanging="1418"/>
      <w:jc w:val="left"/>
    </w:pPr>
    <w:rPr>
      <w:b/>
    </w:rPr>
  </w:style>
  <w:style w:type="paragraph" w:customStyle="1" w:styleId="Doc-text2">
    <w:name w:val="Doc-text2"/>
    <w:basedOn w:val="Normal"/>
    <w:link w:val="Doc-text2Char"/>
    <w:qFormat/>
    <w:rsid w:val="00FB187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B187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RAN2%20%2398\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5NUHHDQN7SK2-1-117065</_dlc_DocId>
    <_dlc_DocIdUrl xmlns="08b2df90-05d3-4030-90d4-c9feeb4a1cd9">
      <Url>https://ericoll.internal.ericsson.com/sites/STAR/_layouts/DocIdRedir.aspx?ID=5NUHHDQN7SK2-1-117065</Url>
      <Description>5NUHHDQN7SK2-1-117065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C367DF1E-7319-4667-9270-DA0D9BAEE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0</TotalTime>
  <Pages>3</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Ericsson; TDoc; 3GPP</cp:keywords>
  <cp:lastModifiedBy>Icaro Da Silva</cp:lastModifiedBy>
  <cp:revision>2</cp:revision>
  <cp:lastPrinted>2008-01-31T16:09:00Z</cp:lastPrinted>
  <dcterms:created xsi:type="dcterms:W3CDTF">2017-05-08T08:16:00Z</dcterms:created>
  <dcterms:modified xsi:type="dcterms:W3CDTF">2017-05-08T08:16:00Z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dc7f1e0f-3d6d-4102-9a7b-bd7f96c7486f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